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:rsidR="00C833EF" w:rsidRPr="00C833EF" w:rsidRDefault="00C833EF" w:rsidP="00C833EF">
      <w:pPr>
        <w:jc w:val="center"/>
        <w:rPr>
          <w:rFonts w:cstheme="minorHAnsi"/>
          <w:i/>
          <w:color w:val="000000"/>
          <w:sz w:val="52"/>
          <w:szCs w:val="52"/>
          <w:shd w:val="clear" w:color="auto" w:fill="FFFFFF"/>
        </w:rPr>
      </w:pPr>
      <w:r w:rsidRPr="00C833EF">
        <w:rPr>
          <w:rFonts w:cstheme="minorHAnsi"/>
          <w:i/>
          <w:color w:val="000000"/>
          <w:sz w:val="52"/>
          <w:szCs w:val="52"/>
          <w:shd w:val="clear" w:color="auto" w:fill="FFFFFF"/>
        </w:rPr>
        <w:t>ДИДАКТИЧНІ ІГРИ, ЯК ЗАСІБ ВИРІВНЮВАННЯ ЗНАНЬ</w:t>
      </w: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right"/>
        <w:rPr>
          <w:rFonts w:cstheme="minorHAnsi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cstheme="minorHAnsi"/>
          <w:color w:val="000000"/>
          <w:sz w:val="32"/>
          <w:szCs w:val="32"/>
          <w:shd w:val="clear" w:color="auto" w:fill="FFFFFF"/>
          <w:lang w:val="uk-UA"/>
        </w:rPr>
        <w:t>Вчитель: Северина В.О.</w:t>
      </w: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C833EF" w:rsidRPr="00C833EF" w:rsidRDefault="00C833EF" w:rsidP="00C833EF">
      <w:pPr>
        <w:jc w:val="both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68694E" w:rsidRPr="00C833EF" w:rsidRDefault="00C833EF" w:rsidP="00C833EF">
      <w:pPr>
        <w:ind w:firstLine="567"/>
        <w:jc w:val="both"/>
        <w:rPr>
          <w:rFonts w:cstheme="minorHAnsi"/>
          <w:sz w:val="32"/>
          <w:szCs w:val="32"/>
        </w:rPr>
      </w:pP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Сучасна дидактика, звертаючись до ігрових форм навчання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на уроках, справедливо вбачає в іграх</w:t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можливості ефективної взаємодії педагога та учні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, продуктивної форми їх спілкування з наявними елементами змагання, безпосередності, природного інтересу. Визначальними при цьому є думки класикі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педагогіки. А.Макаренко називав гру усвідомленою діяльністю, а радість гри – “радістю творчою”, “радістю перемоги”.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В.Сухомлинський писав: “... у грі розкривається перед дітьми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св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іт, творчі можливості особистості. Без гри немає і не може бути повноцінного дитячого розвитку.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3. Гра – один із шляхів виховання та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ідтримання інтересу молодших школярів до математичних знань.</w:t>
      </w:r>
      <w:r w:rsidRPr="00C833EF">
        <w:rPr>
          <w:rFonts w:cstheme="minorHAnsi"/>
          <w:color w:val="000000"/>
          <w:sz w:val="32"/>
          <w:szCs w:val="32"/>
        </w:rPr>
        <w:br/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Ц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ілком природно, що саме в грі слід шукати приховані можливості для успішного засвоєння учнями математичних ідей, понять, формування необхідних умінь і навичок. Дидактичні ігри дають змогу індивідуалізувати роботу на уроці, давати завдання, посильні кожному учню, максимально розвиваючи їхні здібності. Гра виховує почуття відповідальності, колективізму.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Граючись, діти вчитимуться лічити, розв’язувати задачі, конструювати, порівнювати, узагальнювати, класифікувати, робити самостійні висновки, обґрунтовувати їх.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Якщо спочатку учень зацікавиться лише грою, то дуже швидко його вже цікавитиме пов’язаний з нею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матер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іал, в нього виникне потреба вивчити, зрозуміти, запам’ятати цей матеріал, тобто він почне готуватися до участі в грі. Гра дає змогу легко привернути увагу й тривалий час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ідтримувати в учнів інтерес до тих важливих і складних предметів, властивостей і явищ, на яких у звичайних умовах зосередити увагу не завжди вдається. Наприклад, одноманітне розв’язування прикладів стомлює дітей, виникає </w:t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байдужість до навчання. Проте розв’язування цих самих прикладів у процесі гри “Хто швидше?” стає для дітей вже захоплюючою, цікавою діяльністю через конкретність поставленої мети – в кожного виникає бажання перемогти, не вітати від товаришів, не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ідвести їх, показати всьому класу, що він вміє, знає.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4. Роль 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м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ісце дидактичних ігор на уроках математики.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Дидактичні ігри на уроках математики можна використовувати для ознайомлення дітей з новим матері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алом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та для його закріплення, для повторення раніше набутих уявлень і понять, для повнішого і глибшого їх осмисленого засвоєння, формування обчислювальних, графічних умінь та навичок, розвитку основних прийомів мислення, розширення кругозору. Систематичне використання ігор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ідвищує ефективність навчання.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Дидактичні ігри добираються відповідно до програми. В іграх математичного змісту ставляться конкретні завдання. Так, якщо на уроці учні повинні ознайомитися з принципом утворенням будь-якого числа, то й дидактична гра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ідпорядковується цій меті, сприяючи розв’язуванню поставленого завдання.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У дидактичних іграх діти спостерігають, порівнюють, класифікують предмети за певними ознаками, виконують аналіз й синтез, абстрагуються від несуттєвих ознак, роблять узагальнення. Багато ігор вимагають уміння висловлювати своє думку в зв’язній і зрозумілій формі, використовуючи математичну термінологію.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5. Завдання вчителя при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ідготовці і проведенні ігор.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Добираючи ігри, продумуючи ігрову ситуацію, необхідно обов’язково поєднувати два елементи –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ізнавальний та ігровий. Створюючи ігрову ситуацію відповідно до змісту програми, вчитель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повинен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чітко спланувати діяльність учнів, спрямовувати її на досягнення поставленої мети. Коли визначено певне завдання. учитель надає йому ігрового задуму, накреслює ігрові дії. Власне ігровий задум, який спонукає учні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до гри, і є основою ігрової ситуації. Через ігровий задум виникає інтерес до гри. А коли </w:t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з’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являється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особиста зацікавленість, виникає й активність і творчі думки, і дії, і переживання за себе. Команду чи весь колектив –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усе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без чого не можлива ігрова діяльність.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Готуючись до уроків, учитель має заздалегідь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ідготувати необхідний дидактичний матеріал, продумати послідовність ігрових дій, організацію учнів, тривалість гри, контроль, підведення підсумків і оцінювання. Проводити ігри, створювати ігрові ситуації важливо на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кожному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уроці. Це особливо стосується І класу – перехідного періоду, коли учні ще не звикли до тривалої напруженої діяльності. Вони швидко стомлюються, притуплюється їхня увага набридає одноманітність. Тому гра повинна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ійти в практику роботи вчителя як один з найефективніших методів організації навчальної діяльності першокласників.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Гру можна пропонувати на початку уроку. Ігри, що пропонуються на початку уроку, мають збудити думку учня, допомогти йому зосередитись і виділити основне, найважливіше, спрямувати увагу на самостійну діяльність. Інколи гра може бути ніби фоном для побудови всього уроку. Коли ж учні стомлені, їм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доц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ільно запропонувати рухливу гру. Проте слід пам’ятати, що окремі ігри занадто збуджують емоції дітей, надовго відвертають їхню увагу від основної мети уроку. Адже діти в цьому віці не вміють керувати своїми емоціями, переключати увагу, зосереджуватись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у потр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ібні моменти. Тому ігри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пов’язан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 з сильним емоційним збудженням, слід проводити лише в кінці уроку.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6. Вимоги до ігрової діяльності учні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на уроках.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Щоб ігрова діяльність на уроці проходила ефективно і давала бажані результати, необхідно нею керувати, забезпечивши виконання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таких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вимог: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Готовність учнів до участі в грі. (Кожен учень повинен засвоїти правила гри, чітко усвідомити мету її, кінцевий результат,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посл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ідовність дій, мати потрібний запас знань для участі у грі).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Забезпечення кожного учня необхідним дидактичним матеріалом.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Чітка постановка завдання гри. Пояснення гри – зрозуміле, чітке.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Складну гру слід проводити поетапно, поки учні не засвоять окремих дій, а далі можна пропонувати всю гру 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ізні її варіанти.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Дії учнів слід контролювати, своєчасно виправляти, спрямовувати, оцінювати.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Не можна допускати приниження гідності дитини (образливі порівняння, оцінка за поразку в грі, глузування тощо)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proofErr w:type="gramEnd"/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ри важливо проводити систематично й цілеспрямовано на кожному уроці, починаючи з елементарних ігрових ситуацій, поступово ускладнюючи й урізноманітнюючи їх у міру нагромадження в учнів знань, вироблення вмінь і навичок, засвоєння правил гри, розвитку пам’яті, виховання кмітливості, самостійності, наполегливості тощо.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7. Дидактичні принципи організації ігор: доступність, посильність, систематичність.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Оскільки гра має проводитись систематично вчитель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повинен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продумати все до найменших деталей, а саме:</w:t>
      </w:r>
      <w:r w:rsidRPr="00C833EF">
        <w:rPr>
          <w:rFonts w:cstheme="minorHAnsi"/>
          <w:color w:val="000000"/>
          <w:sz w:val="32"/>
          <w:szCs w:val="32"/>
        </w:rPr>
        <w:br/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Доц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ільно створити умови для проведення постійних ігор – змагань між учнями, що сидять на різних рядах парт, і для індивідуальних ігор. Для цього проти кожного ряду парт важливо закріпити набірні полотна та полички для розставлення предметів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 час гри (щоб їх було видно усім учням класу).</w:t>
      </w:r>
      <w:r w:rsidRPr="00C833EF">
        <w:rPr>
          <w:rFonts w:cstheme="minorHAnsi"/>
          <w:color w:val="000000"/>
          <w:sz w:val="32"/>
          <w:szCs w:val="32"/>
        </w:rPr>
        <w:br/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ідібрати мінімальну кількість ігрового матеріалу для проведення ігор.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Продумати, де зберігати ігровий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матер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іал. Для індивідуальних ігор, що проводитимуться між учнями кожної парти, мішечки целофанові або ящички учнів з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ідписаними прізвищами можна зберігати в класі і роздавати потрібний матеріал перед уроком.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Ігровий матеріал у ящиках і кульках має бути чітко систематизований і згрупований так, щоб ним було зручно користуватися. Так,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ібні предмети можна зберігати в сірникових коробках з підписами або зображеннями цих предметів на </w:t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коробках. У конвертах зручно зберігати плоскі геометричні фігури, картинки із зображенням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ізних предметів тощо. Для зручності конверти слід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ідписати або зверху наклеїти зображення матеріалу, що міститься в конверті. Іграшки, різноманітні предмети зручно зберігати в невеличких целофанових мішечках.</w:t>
      </w:r>
      <w:r w:rsidRPr="00C833EF">
        <w:rPr>
          <w:rFonts w:cstheme="minorHAnsi"/>
          <w:color w:val="000000"/>
          <w:sz w:val="32"/>
          <w:szCs w:val="32"/>
        </w:rPr>
        <w:br/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Доц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ільно розсадити учнів так, що за кожною партою сидів один учень “сильний”, а другий – “слабкий”. У такому разі 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гри м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іж сусідами по парті проходять ефективніше і постійно контролюються “сильнішими”. Розсадити учнів по рядах парт треба так, щоб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івень їхніх знань і розумового розвитку був приблизно однаковим, щоб шанс виграти мав кожен ряд учнів.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Гра на уроці не повинна проходити стихійно, вона має бути чітко організованою і цілеспрямованою. Насамперед учні повинні засвоїти правила гри. Загальні правила мають бути єдиним для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вс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іх ігор. Щоб в учнів поступово виробився стереотип. Крім того, змі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ст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гри, її форма повинні бути доступними, посильними для учнів.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У грі повинні брати участь всі учні класу. Тому завдання треба добирати короткі, посильні, розраховуючи на відповіді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вс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іх учнів класу.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Слід уникати одноманітності завдань, організовуючи їх так, щоб дітям не доводилося довго чекати включення в гру, бо це знижує їхній інтерес.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Загальні правила для учнів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процесі ігор можна сформулювати так: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Уважно слухай і запам’ятовуй хід гри, необхідні дії, їх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посл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ідовність.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Пам’ятай – успіх залежить від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ч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іткого усвідомлення кінцевої мети, передбаченого грою результату гри. Не поспішай розпочати гру, не дослухавши до кінця вказівки вчителя. Поспіх часто призводить до грубих помилок, зайвих непотрібних дій.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Уважно слухай відповідь товариша, щоб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у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разі потреби виправити або доповнити його.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Додержуй своєї черги, не заважай товаришам, не роби зайвих рухів, дій, будь дисциплінованим.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Чесно визнай свою помилку, якщо товариші довели, що ти неправий.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Не хитруй, не шукай легкого нечесного шляху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для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перемоги. Цим ми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ідводимо товаришів і втрачаємо свій авторитет. Поважають лише чесних, справедливих, принципових.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Важливо, щоб не лише вчитель,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а й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учні слідували за чесністю дій в грі.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Ігровий матеріал для змагань між рядами: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набірні полотна.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Полички для іграшок.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Картинки з цифрами і знаками.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Картки із записами прикладів.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Трафарети, картки, іграшки та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р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ізні предмети, що мають геометричну форму.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Три курси тканини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для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зав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’язування очей гравцям, три мішечки.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Таблиці.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8. Ігрові ситуації на нестандартних уроках.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Одним із шляхів активізації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ізнавальної діяльності школярів є використання елементі гри у процесі навчання, зокрема під час проведення нестандартних уроків: урок - казка, урок - аукціон знань, урок - КВК, урок-концерт та інші.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Опитування учнів, котрі брали участь у таких заняттях показує, що переважна більшість їх дає їм позитивну оцінку. Щодо вчителів, то можна зустрітися з протилежними поглядами: одні з них вважають такі заняття недоцільними, оскільки вони не дають змоги повною мірою розв’язувати основні освітні завдання, інші, навпаки, схвально ставляться до проведення занять з елементами гри, запевняють, що зростає активізація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ізнавальної діяльності учнів, реалізуються принципи гуманізації та гуманітаризації у навчанні математики.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На нашу думку, погляди першої групи вчителів визначаються необхідністю з методичними розробками з даного питання і </w:t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постійною нестачею часу для режисури дидактичних ігор.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ІІІ. Значення методу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гри 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реалізації освітньої, розвиваючої та виховної функції навчально-виховного процесу.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Упродовж життя людина грає ту чи іншу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соц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іальну роль, що відведена їй у суспільстві.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У дитячі роки грає основним видом діяльності людини. За її допомогою діти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ізнають світ. Без гри дітям жити нудно, нецікаво. В грі діти 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ідлітки перевіряють свою силу і спритність, у них виникає бажання фантазувати, відкривати таємниці і прагнути чогось прекрасного.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Гра дарує щохвилинну радість, задоволення актуальні невідкладні потреби, а ще – спрямована в майбутн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є,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бо під час гри у дітей формуються ч закріплюються властивості, вміння, здібності, необхідні їм для виконання соціальних. Професійних, творчих функцій у майбутньому.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Потрапляючи до школи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ісля дитячого садка, дитина зустрічається з іншим видом діяльності – навчанням. Але гра залишається важливим засобом не лише відпочинку, а й творчого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ізнання життя. Ігрова позиція – могутній засіб виховного впливу на дітей.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У процесі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гри 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учнів виробляється звичка зосереджувалися, самостійно думати, розвивати увагу. Захопившись грою, ді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ти не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помічають, що навчаються до активної діяльності залучаються навіть найпасивніші учні. Найсуттєвішими для вчителя будь-якого предмета на наш погляд є такі питання: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а) визначити місце дидактичних ігор та ігрових ситуацій у системі інших видів діяльності на уроці;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б)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доц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ільність використання їх на різних етапах вивчення різноманітного за характером навчального матеріалу;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в) розробка методики проведення дидактичних ігор з урахуваннями дидактичної мети уроку та рівня підготовленості </w:t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учнів;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г) вимоги до змісту ігрових діяльності у світлі ідей розвивального навчання;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д) передбачення способі стимулювання учнів, заохочення в процесі гри тих, хто найбільше відзначився, а також для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ідбадьорення відстаючих. У процесі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гри в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дітей виробляється звичка зосереджуватися, працювати вдумливо, самостійно. Розвивається увага,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пам’ять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, жадоба до знань. Задовольняючи свою природну невсипущу потребу в діяльності, в процесі гри дитини “добудовує” в уяві все, що недоступне їй у навколиш6ній дійсності, в захопленні не поміча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є,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що вчиться – пізнає нове, запам’ятовує, орієнтується в різних ситуаціях, поглиблює набутий раніше досвід порівнює запас уявлень, понять, розвиває фантазію.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У грі найповніше проявляються індивідуальні особливості, інтелектуальні можливості, нахили, здібності дітей.</w:t>
      </w:r>
      <w:r w:rsidRPr="00C833EF">
        <w:rPr>
          <w:rFonts w:cstheme="minorHAnsi"/>
          <w:color w:val="000000"/>
          <w:sz w:val="32"/>
          <w:szCs w:val="32"/>
        </w:rPr>
        <w:br/>
      </w:r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Гра належить до традиційних і визнаних методів навчання і виховання дошкільників, молодших школярів і 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п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ідлітків. Цінність цього методу полягає в тому, що в ігровій діяльності освітня, розвиваюча й виховні функції діють у тісному взаємозв’язку. Гра як метод навчання організову</w:t>
      </w:r>
      <w:proofErr w:type="gramStart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>є,</w:t>
      </w:r>
      <w:proofErr w:type="gramEnd"/>
      <w:r w:rsidRPr="00C833EF">
        <w:rPr>
          <w:rFonts w:cstheme="minorHAnsi"/>
          <w:color w:val="000000"/>
          <w:sz w:val="32"/>
          <w:szCs w:val="32"/>
          <w:shd w:val="clear" w:color="auto" w:fill="FFFFFF"/>
        </w:rPr>
        <w:t xml:space="preserve"> розвиває учнів, розширює їхні пізнавальні можливості, виховує особистість.</w:t>
      </w:r>
    </w:p>
    <w:sectPr w:rsidR="0068694E" w:rsidRPr="00C833EF" w:rsidSect="0068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grammar="clean"/>
  <w:defaultTabStop w:val="708"/>
  <w:characterSpacingControl w:val="doNotCompress"/>
  <w:compat/>
  <w:rsids>
    <w:rsidRoot w:val="00C833EF"/>
    <w:rsid w:val="00494E23"/>
    <w:rsid w:val="005F153B"/>
    <w:rsid w:val="0068694E"/>
    <w:rsid w:val="00C8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E2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494E23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1987</Words>
  <Characters>11331</Characters>
  <Application>Microsoft Office Word</Application>
  <DocSecurity>0</DocSecurity>
  <Lines>94</Lines>
  <Paragraphs>26</Paragraphs>
  <ScaleCrop>false</ScaleCrop>
  <Company>Grizli777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2013-04-13T18:34:00Z</dcterms:created>
  <dcterms:modified xsi:type="dcterms:W3CDTF">2013-04-13T18:40:00Z</dcterms:modified>
</cp:coreProperties>
</file>